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2E4882" w:rsidRDefault="002E4882">
      <w:pPr>
        <w:rPr>
          <w:rFonts w:ascii="Times New Roman" w:hAnsi="Times New Roman" w:cs="Times New Roman"/>
        </w:rPr>
      </w:pPr>
    </w:p>
    <w:p w:rsidR="002E4882" w:rsidRDefault="002E4882">
      <w:pPr>
        <w:rPr>
          <w:rFonts w:ascii="Times New Roman" w:hAnsi="Times New Roman" w:cs="Times New Roman"/>
        </w:rPr>
      </w:pPr>
    </w:p>
    <w:p w:rsidR="002E4882" w:rsidRDefault="002E4882">
      <w:pPr>
        <w:rPr>
          <w:rFonts w:ascii="Times New Roman" w:hAnsi="Times New Roman" w:cs="Times New Roman"/>
        </w:rPr>
      </w:pPr>
    </w:p>
    <w:p w:rsidR="002E4882" w:rsidRDefault="002E4882">
      <w:pPr>
        <w:rPr>
          <w:rFonts w:ascii="Times New Roman" w:hAnsi="Times New Roman" w:cs="Times New Roman"/>
        </w:rPr>
      </w:pPr>
    </w:p>
    <w:p w:rsidR="007C22AE" w:rsidRDefault="007C22AE">
      <w:pPr>
        <w:rPr>
          <w:rFonts w:ascii="Times New Roman" w:hAnsi="Times New Roman" w:cs="Times New Roman"/>
        </w:rPr>
      </w:pPr>
    </w:p>
    <w:p w:rsidR="007C22AE" w:rsidRPr="002E4882" w:rsidRDefault="002E4882" w:rsidP="002E4882">
      <w:pPr>
        <w:jc w:val="center"/>
        <w:rPr>
          <w:rFonts w:ascii="Times New Roman" w:hAnsi="Times New Roman" w:cs="Times New Roman"/>
          <w:sz w:val="24"/>
          <w:szCs w:val="24"/>
        </w:rPr>
      </w:pPr>
      <w:r w:rsidRPr="002E4882">
        <w:rPr>
          <w:rFonts w:ascii="Times New Roman" w:hAnsi="Times New Roman" w:cs="Times New Roman"/>
          <w:sz w:val="24"/>
          <w:szCs w:val="24"/>
        </w:rPr>
        <w:t>Smith vs Karl Marx &amp; Engels Economic Models</w:t>
      </w:r>
    </w:p>
    <w:p w:rsidR="002E4882" w:rsidRPr="002E4882" w:rsidRDefault="002E4882" w:rsidP="002E4882">
      <w:pPr>
        <w:jc w:val="center"/>
        <w:rPr>
          <w:rFonts w:ascii="Times New Roman" w:hAnsi="Times New Roman" w:cs="Times New Roman"/>
          <w:sz w:val="24"/>
          <w:szCs w:val="24"/>
        </w:rPr>
      </w:pPr>
      <w:r w:rsidRPr="002E4882">
        <w:rPr>
          <w:rFonts w:ascii="Times New Roman" w:hAnsi="Times New Roman" w:cs="Times New Roman"/>
          <w:sz w:val="24"/>
          <w:szCs w:val="24"/>
        </w:rPr>
        <w:t>Name</w:t>
      </w:r>
    </w:p>
    <w:p w:rsidR="002E4882" w:rsidRPr="002E4882" w:rsidRDefault="002E4882" w:rsidP="002E4882">
      <w:pPr>
        <w:jc w:val="center"/>
        <w:rPr>
          <w:rFonts w:ascii="Times New Roman" w:hAnsi="Times New Roman" w:cs="Times New Roman"/>
          <w:sz w:val="24"/>
          <w:szCs w:val="24"/>
        </w:rPr>
      </w:pPr>
      <w:r w:rsidRPr="002E4882">
        <w:rPr>
          <w:rFonts w:ascii="Times New Roman" w:hAnsi="Times New Roman" w:cs="Times New Roman"/>
          <w:sz w:val="24"/>
          <w:szCs w:val="24"/>
        </w:rPr>
        <w:t>Institution</w:t>
      </w: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7C22AE" w:rsidRDefault="007C22AE">
      <w:pPr>
        <w:rPr>
          <w:rFonts w:ascii="Times New Roman" w:hAnsi="Times New Roman" w:cs="Times New Roman"/>
        </w:rPr>
      </w:pPr>
    </w:p>
    <w:p w:rsidR="002E4882" w:rsidRDefault="002E4882">
      <w:pPr>
        <w:rPr>
          <w:rFonts w:ascii="Times New Roman" w:hAnsi="Times New Roman" w:cs="Times New Roman"/>
        </w:rPr>
      </w:pPr>
    </w:p>
    <w:p w:rsidR="00610754" w:rsidRPr="002E4882" w:rsidRDefault="00524988" w:rsidP="002E4882">
      <w:pPr>
        <w:spacing w:line="480" w:lineRule="auto"/>
        <w:ind w:firstLine="720"/>
        <w:rPr>
          <w:rFonts w:ascii="Times New Roman" w:hAnsi="Times New Roman" w:cs="Times New Roman"/>
          <w:sz w:val="24"/>
          <w:szCs w:val="24"/>
        </w:rPr>
      </w:pPr>
      <w:r w:rsidRPr="002E4882">
        <w:rPr>
          <w:rFonts w:ascii="Times New Roman" w:hAnsi="Times New Roman" w:cs="Times New Roman"/>
          <w:sz w:val="24"/>
          <w:szCs w:val="24"/>
        </w:rPr>
        <w:lastRenderedPageBreak/>
        <w:t xml:space="preserve">The evolution of industrial complexes and capitalism highlights the inevitable power of feudalist policies to necessitate localized and global commerce. Essentially, modern trade systems have evolved from mediaeval fiscal-socialist policies, and portend to advance their dynamics to the unfathomable future. The world, as we know it today, is largely capitalist, and very few facets fail to bend to its policed dimensions. </w:t>
      </w:r>
      <w:r w:rsidR="00C45569" w:rsidRPr="002E4882">
        <w:rPr>
          <w:rFonts w:ascii="Times New Roman" w:hAnsi="Times New Roman" w:cs="Times New Roman"/>
          <w:sz w:val="24"/>
          <w:szCs w:val="24"/>
        </w:rPr>
        <w:t xml:space="preserve">One of the most battled out models pertaining trade and economy comprise communism and capitalism. Communism leverages on communal industrialism and relative equality while capitalism augments industrial mechanization and class-dynamics as in the rich, poor and middle-class hierarchy. </w:t>
      </w:r>
      <w:r w:rsidRPr="002E4882">
        <w:rPr>
          <w:rFonts w:ascii="Times New Roman" w:hAnsi="Times New Roman" w:cs="Times New Roman"/>
          <w:sz w:val="24"/>
          <w:szCs w:val="24"/>
        </w:rPr>
        <w:t>In effect, financial experts develop studies to ameliorate the nature of various financial models</w:t>
      </w:r>
      <w:r w:rsidR="00C45569" w:rsidRPr="002E4882">
        <w:rPr>
          <w:rFonts w:ascii="Times New Roman" w:hAnsi="Times New Roman" w:cs="Times New Roman"/>
          <w:sz w:val="24"/>
          <w:szCs w:val="24"/>
        </w:rPr>
        <w:t xml:space="preserve">; with specific regard to utilitarian architecture, policy augmentation, and consequent effects of the models. Relatively, Smith wrote about the communist, free trade model, while Karl Marx and Engels offered a rational disposition towards </w:t>
      </w:r>
      <w:r w:rsidR="00700B75" w:rsidRPr="002E4882">
        <w:rPr>
          <w:rFonts w:ascii="Times New Roman" w:hAnsi="Times New Roman" w:cs="Times New Roman"/>
          <w:sz w:val="24"/>
          <w:szCs w:val="24"/>
        </w:rPr>
        <w:t>capitalism. The</w:t>
      </w:r>
      <w:r w:rsidR="00C45569" w:rsidRPr="002E4882">
        <w:rPr>
          <w:rFonts w:ascii="Times New Roman" w:hAnsi="Times New Roman" w:cs="Times New Roman"/>
          <w:sz w:val="24"/>
          <w:szCs w:val="24"/>
        </w:rPr>
        <w:t xml:space="preserve"> purpose of this assignment is to debunk the differences between Smith, and Karl Ma</w:t>
      </w:r>
      <w:r w:rsidR="00700B75" w:rsidRPr="002E4882">
        <w:rPr>
          <w:rFonts w:ascii="Times New Roman" w:hAnsi="Times New Roman" w:cs="Times New Roman"/>
          <w:sz w:val="24"/>
          <w:szCs w:val="24"/>
        </w:rPr>
        <w:t>rx-Engel fiscal trade models. Thus, the</w:t>
      </w:r>
      <w:r w:rsidR="00C45569" w:rsidRPr="002E4882">
        <w:rPr>
          <w:rFonts w:ascii="Times New Roman" w:hAnsi="Times New Roman" w:cs="Times New Roman"/>
          <w:sz w:val="24"/>
          <w:szCs w:val="24"/>
        </w:rPr>
        <w:t xml:space="preserve"> an</w:t>
      </w:r>
      <w:r w:rsidR="00700B75" w:rsidRPr="002E4882">
        <w:rPr>
          <w:rFonts w:ascii="Times New Roman" w:hAnsi="Times New Roman" w:cs="Times New Roman"/>
          <w:sz w:val="24"/>
          <w:szCs w:val="24"/>
        </w:rPr>
        <w:t xml:space="preserve">alysis will mainly focus on the two economists’ alleged assertions on prosperous, fair economy dynamics and offer </w:t>
      </w:r>
      <w:r w:rsidR="007B4BDF" w:rsidRPr="002E4882">
        <w:rPr>
          <w:rFonts w:ascii="Times New Roman" w:hAnsi="Times New Roman" w:cs="Times New Roman"/>
          <w:sz w:val="24"/>
          <w:szCs w:val="24"/>
        </w:rPr>
        <w:t>a personal rational predisposition</w:t>
      </w:r>
      <w:r w:rsidR="00700B75" w:rsidRPr="002E4882">
        <w:rPr>
          <w:rFonts w:ascii="Times New Roman" w:hAnsi="Times New Roman" w:cs="Times New Roman"/>
          <w:sz w:val="24"/>
          <w:szCs w:val="24"/>
        </w:rPr>
        <w:t xml:space="preserve"> towards their </w:t>
      </w:r>
      <w:r w:rsidR="007B4BDF" w:rsidRPr="002E4882">
        <w:rPr>
          <w:rFonts w:ascii="Times New Roman" w:hAnsi="Times New Roman" w:cs="Times New Roman"/>
          <w:sz w:val="24"/>
          <w:szCs w:val="24"/>
        </w:rPr>
        <w:t>study assertions</w:t>
      </w:r>
      <w:r w:rsidR="00700B75" w:rsidRPr="002E4882">
        <w:rPr>
          <w:rFonts w:ascii="Times New Roman" w:hAnsi="Times New Roman" w:cs="Times New Roman"/>
          <w:sz w:val="24"/>
          <w:szCs w:val="24"/>
        </w:rPr>
        <w:t>.</w:t>
      </w:r>
    </w:p>
    <w:p w:rsidR="00103C64" w:rsidRDefault="007B4BDF" w:rsidP="002E4882">
      <w:pPr>
        <w:spacing w:line="480" w:lineRule="auto"/>
        <w:ind w:firstLine="720"/>
        <w:rPr>
          <w:rFonts w:ascii="Times New Roman" w:hAnsi="Times New Roman" w:cs="Times New Roman"/>
          <w:sz w:val="24"/>
          <w:szCs w:val="24"/>
        </w:rPr>
      </w:pPr>
      <w:r w:rsidRPr="002E4882">
        <w:rPr>
          <w:rFonts w:ascii="Times New Roman" w:hAnsi="Times New Roman" w:cs="Times New Roman"/>
          <w:sz w:val="24"/>
          <w:szCs w:val="24"/>
        </w:rPr>
        <w:t xml:space="preserve">One conspicuous difference between the scholar’s points of </w:t>
      </w:r>
      <w:r w:rsidR="004E3CAE" w:rsidRPr="002E4882">
        <w:rPr>
          <w:rFonts w:ascii="Times New Roman" w:hAnsi="Times New Roman" w:cs="Times New Roman"/>
          <w:sz w:val="24"/>
          <w:szCs w:val="24"/>
        </w:rPr>
        <w:t>view</w:t>
      </w:r>
      <w:r w:rsidR="004E3CAE">
        <w:rPr>
          <w:rFonts w:ascii="Times New Roman" w:hAnsi="Times New Roman" w:cs="Times New Roman"/>
          <w:sz w:val="24"/>
          <w:szCs w:val="24"/>
        </w:rPr>
        <w:t xml:space="preserve"> regards </w:t>
      </w:r>
      <w:r w:rsidR="004E3CAE" w:rsidRPr="002E4882">
        <w:rPr>
          <w:rFonts w:ascii="Times New Roman" w:hAnsi="Times New Roman" w:cs="Times New Roman"/>
          <w:sz w:val="24"/>
          <w:szCs w:val="24"/>
        </w:rPr>
        <w:t>imminent</w:t>
      </w:r>
      <w:r w:rsidRPr="002E4882">
        <w:rPr>
          <w:rFonts w:ascii="Times New Roman" w:hAnsi="Times New Roman" w:cs="Times New Roman"/>
          <w:sz w:val="24"/>
          <w:szCs w:val="24"/>
        </w:rPr>
        <w:t xml:space="preserve"> profitability of either </w:t>
      </w:r>
      <w:r w:rsidR="003D239C" w:rsidRPr="002E4882">
        <w:rPr>
          <w:rFonts w:ascii="Times New Roman" w:hAnsi="Times New Roman" w:cs="Times New Roman"/>
          <w:sz w:val="24"/>
          <w:szCs w:val="24"/>
        </w:rPr>
        <w:t>model. Smith</w:t>
      </w:r>
      <w:r w:rsidRPr="002E4882">
        <w:rPr>
          <w:rFonts w:ascii="Times New Roman" w:hAnsi="Times New Roman" w:cs="Times New Roman"/>
          <w:sz w:val="24"/>
          <w:szCs w:val="24"/>
        </w:rPr>
        <w:t xml:space="preserve"> alleges that a free industrial model is most likely to bring in more revenue, as opposed to a feudalist </w:t>
      </w:r>
      <w:r w:rsidR="003D239C" w:rsidRPr="002E4882">
        <w:rPr>
          <w:rFonts w:ascii="Times New Roman" w:hAnsi="Times New Roman" w:cs="Times New Roman"/>
          <w:sz w:val="24"/>
          <w:szCs w:val="24"/>
        </w:rPr>
        <w:t>model. On</w:t>
      </w:r>
      <w:r w:rsidRPr="002E4882">
        <w:rPr>
          <w:rFonts w:ascii="Times New Roman" w:hAnsi="Times New Roman" w:cs="Times New Roman"/>
          <w:sz w:val="24"/>
          <w:szCs w:val="24"/>
        </w:rPr>
        <w:t xml:space="preserve"> the other hand, Karl and Engels assert that capitalism, based on a feudal meritocratic system is set to accentuate profitability owing to increased communication and </w:t>
      </w:r>
      <w:r w:rsidR="003D239C" w:rsidRPr="002E4882">
        <w:rPr>
          <w:rFonts w:ascii="Times New Roman" w:hAnsi="Times New Roman" w:cs="Times New Roman"/>
          <w:sz w:val="24"/>
          <w:szCs w:val="24"/>
        </w:rPr>
        <w:t>navigation</w:t>
      </w:r>
      <w:r w:rsidR="004E3CAE">
        <w:rPr>
          <w:rFonts w:ascii="Times New Roman" w:hAnsi="Times New Roman" w:cs="Times New Roman"/>
          <w:sz w:val="24"/>
          <w:szCs w:val="24"/>
        </w:rPr>
        <w:t xml:space="preserve"> (Marx, 2002)</w:t>
      </w:r>
      <w:r w:rsidR="003D239C" w:rsidRPr="002E4882">
        <w:rPr>
          <w:rFonts w:ascii="Times New Roman" w:hAnsi="Times New Roman" w:cs="Times New Roman"/>
          <w:sz w:val="24"/>
          <w:szCs w:val="24"/>
        </w:rPr>
        <w:t>. Primarily</w:t>
      </w:r>
      <w:r w:rsidRPr="002E4882">
        <w:rPr>
          <w:rFonts w:ascii="Times New Roman" w:hAnsi="Times New Roman" w:cs="Times New Roman"/>
          <w:sz w:val="24"/>
          <w:szCs w:val="24"/>
        </w:rPr>
        <w:t>, Smith points out that a free</w:t>
      </w:r>
      <w:r w:rsidR="003D239C" w:rsidRPr="002E4882">
        <w:rPr>
          <w:rFonts w:ascii="Times New Roman" w:hAnsi="Times New Roman" w:cs="Times New Roman"/>
          <w:sz w:val="24"/>
          <w:szCs w:val="24"/>
        </w:rPr>
        <w:t xml:space="preserve"> industrial economy is self-managing and thus, reduces the risk of few wealthy individuals curtailing profits through taxes, tariffs and quotas. Thus, offered that all other factors remain </w:t>
      </w:r>
    </w:p>
    <w:p w:rsidR="007B4BDF" w:rsidRPr="002E4882" w:rsidRDefault="003D239C" w:rsidP="00103C64">
      <w:pPr>
        <w:spacing w:line="480" w:lineRule="auto"/>
        <w:rPr>
          <w:rFonts w:ascii="Times New Roman" w:hAnsi="Times New Roman" w:cs="Times New Roman"/>
          <w:sz w:val="24"/>
          <w:szCs w:val="24"/>
        </w:rPr>
      </w:pPr>
      <w:r w:rsidRPr="002E4882">
        <w:rPr>
          <w:rFonts w:ascii="Times New Roman" w:hAnsi="Times New Roman" w:cs="Times New Roman"/>
          <w:sz w:val="24"/>
          <w:szCs w:val="24"/>
        </w:rPr>
        <w:lastRenderedPageBreak/>
        <w:t>constant and little standardization of policies, the model has the potential to create vast wealth without necessarily creating class-based wealth. Furthermore, it is cheaper and faster to acquire implementable skills in the process</w:t>
      </w:r>
      <w:r w:rsidR="004E3CAE">
        <w:rPr>
          <w:rFonts w:ascii="Times New Roman" w:hAnsi="Times New Roman" w:cs="Times New Roman"/>
          <w:sz w:val="24"/>
          <w:szCs w:val="24"/>
        </w:rPr>
        <w:t xml:space="preserve"> (Smith, 1776)</w:t>
      </w:r>
      <w:r w:rsidRPr="002E4882">
        <w:rPr>
          <w:rFonts w:ascii="Times New Roman" w:hAnsi="Times New Roman" w:cs="Times New Roman"/>
          <w:sz w:val="24"/>
          <w:szCs w:val="24"/>
        </w:rPr>
        <w:t xml:space="preserve">. Conversely, Karl and Engels maintain that capitalism extends to more than financial requisition; and comprises meritocratic social classes, and politicized facets that keep aid the ruling class to continue controlling resources within any given society. As a result of capitalist evolution, cross-border navigation and trading have become a reality. Thus, </w:t>
      </w:r>
      <w:r w:rsidR="00B431BD" w:rsidRPr="002E4882">
        <w:rPr>
          <w:rFonts w:ascii="Times New Roman" w:hAnsi="Times New Roman" w:cs="Times New Roman"/>
          <w:sz w:val="24"/>
          <w:szCs w:val="24"/>
        </w:rPr>
        <w:t xml:space="preserve">increased diversification enables the </w:t>
      </w:r>
      <w:r w:rsidR="007C22AE" w:rsidRPr="002E4882">
        <w:rPr>
          <w:rFonts w:ascii="Times New Roman" w:hAnsi="Times New Roman" w:cs="Times New Roman"/>
          <w:sz w:val="24"/>
          <w:szCs w:val="24"/>
        </w:rPr>
        <w:t xml:space="preserve">bourgeoisie </w:t>
      </w:r>
      <w:r w:rsidR="00B431BD" w:rsidRPr="002E4882">
        <w:rPr>
          <w:rFonts w:ascii="Times New Roman" w:hAnsi="Times New Roman" w:cs="Times New Roman"/>
          <w:sz w:val="24"/>
          <w:szCs w:val="24"/>
        </w:rPr>
        <w:t>ruling class to acquire resources at cheaper prices from other nations, and inadvertently profit from the trade as a sole ‘elite’ economy and increase individual leverage.</w:t>
      </w:r>
    </w:p>
    <w:p w:rsidR="00103C64" w:rsidRDefault="00B431BD" w:rsidP="002E4882">
      <w:pPr>
        <w:spacing w:line="480" w:lineRule="auto"/>
        <w:ind w:firstLine="720"/>
        <w:rPr>
          <w:rFonts w:ascii="Times New Roman" w:hAnsi="Times New Roman" w:cs="Times New Roman"/>
          <w:sz w:val="24"/>
          <w:szCs w:val="24"/>
        </w:rPr>
      </w:pPr>
      <w:r w:rsidRPr="002E4882">
        <w:rPr>
          <w:rFonts w:ascii="Times New Roman" w:hAnsi="Times New Roman" w:cs="Times New Roman"/>
          <w:sz w:val="24"/>
          <w:szCs w:val="24"/>
        </w:rPr>
        <w:t>Labor is a vital factor of production for the advancement of modern economies. According to Smith’s free trade model, labor is the constant, arbitrary calibration of market commodities set up for exchange</w:t>
      </w:r>
      <w:r w:rsidR="004E3CAE">
        <w:rPr>
          <w:rFonts w:ascii="Times New Roman" w:hAnsi="Times New Roman" w:cs="Times New Roman"/>
          <w:sz w:val="24"/>
          <w:szCs w:val="24"/>
        </w:rPr>
        <w:t xml:space="preserve"> (Smith, 1776)</w:t>
      </w:r>
      <w:r w:rsidRPr="002E4882">
        <w:rPr>
          <w:rFonts w:ascii="Times New Roman" w:hAnsi="Times New Roman" w:cs="Times New Roman"/>
          <w:sz w:val="24"/>
          <w:szCs w:val="24"/>
        </w:rPr>
        <w:t>. However, Karl’s theory is inclined to the rationale that a combination of cost of production for produced commodities and labor augments the value of commodities in a capitalist environment.</w:t>
      </w:r>
      <w:r w:rsidR="005366D6" w:rsidRPr="002E4882">
        <w:rPr>
          <w:rFonts w:ascii="Times New Roman" w:hAnsi="Times New Roman" w:cs="Times New Roman"/>
          <w:sz w:val="24"/>
          <w:szCs w:val="24"/>
        </w:rPr>
        <w:t xml:space="preserve"> Karl offers that this policy augments competition and subsequent creation of wealth in state economy. The inadvertent improvement of factors of production increases currency values in the global value index, thereby forging </w:t>
      </w:r>
      <w:r w:rsidR="003C60D6" w:rsidRPr="002E4882">
        <w:rPr>
          <w:rFonts w:ascii="Times New Roman" w:hAnsi="Times New Roman" w:cs="Times New Roman"/>
          <w:sz w:val="24"/>
          <w:szCs w:val="24"/>
        </w:rPr>
        <w:t>desirable conditions for global trading dynamics. R</w:t>
      </w:r>
      <w:r w:rsidR="005366D6" w:rsidRPr="002E4882">
        <w:rPr>
          <w:rFonts w:ascii="Times New Roman" w:hAnsi="Times New Roman" w:cs="Times New Roman"/>
          <w:sz w:val="24"/>
          <w:szCs w:val="24"/>
        </w:rPr>
        <w:t>elatively, a free trade industrialist economy is based on communal-based benefits unlike a capitalist model that leverages personal gratification. On the other hand, Smith’s model leverages on labor alone to determine the value of commodities within that particular model</w:t>
      </w:r>
      <w:r w:rsidR="004E3CAE">
        <w:rPr>
          <w:rFonts w:ascii="Times New Roman" w:hAnsi="Times New Roman" w:cs="Times New Roman"/>
          <w:sz w:val="24"/>
          <w:szCs w:val="24"/>
        </w:rPr>
        <w:t xml:space="preserve"> (Smith, 1776)</w:t>
      </w:r>
      <w:r w:rsidR="005366D6" w:rsidRPr="002E4882">
        <w:rPr>
          <w:rFonts w:ascii="Times New Roman" w:hAnsi="Times New Roman" w:cs="Times New Roman"/>
          <w:sz w:val="24"/>
          <w:szCs w:val="24"/>
        </w:rPr>
        <w:t xml:space="preserve">. However, Karl and Engel’s capitalist model is constantly evolving to affix the desires of the elite controllers. Thus, in the event that </w:t>
      </w:r>
    </w:p>
    <w:p w:rsidR="00103C64" w:rsidRDefault="00103C64" w:rsidP="00103C64">
      <w:pPr>
        <w:spacing w:line="480" w:lineRule="auto"/>
        <w:rPr>
          <w:rFonts w:ascii="Times New Roman" w:hAnsi="Times New Roman" w:cs="Times New Roman"/>
          <w:sz w:val="24"/>
          <w:szCs w:val="24"/>
        </w:rPr>
      </w:pPr>
    </w:p>
    <w:p w:rsidR="00B431BD" w:rsidRPr="002E4882" w:rsidRDefault="005366D6" w:rsidP="00103C64">
      <w:pPr>
        <w:spacing w:line="480" w:lineRule="auto"/>
        <w:rPr>
          <w:rFonts w:ascii="Times New Roman" w:hAnsi="Times New Roman" w:cs="Times New Roman"/>
          <w:sz w:val="24"/>
          <w:szCs w:val="24"/>
        </w:rPr>
      </w:pPr>
      <w:r w:rsidRPr="002E4882">
        <w:rPr>
          <w:rFonts w:ascii="Times New Roman" w:hAnsi="Times New Roman" w:cs="Times New Roman"/>
          <w:sz w:val="24"/>
          <w:szCs w:val="24"/>
        </w:rPr>
        <w:lastRenderedPageBreak/>
        <w:t xml:space="preserve">complimentary labor is sort through mechanization, the skills and labor of the lower class are rendered obsolete, thereby accentuating relative poverty levels. In Smith’s model, labor can be classified by age and gender dynamics. However, Marx’s capitalist model possesses minimal or no regard for skillsets in the production </w:t>
      </w:r>
      <w:r w:rsidR="003C60D6" w:rsidRPr="002E4882">
        <w:rPr>
          <w:rFonts w:ascii="Times New Roman" w:hAnsi="Times New Roman" w:cs="Times New Roman"/>
          <w:sz w:val="24"/>
          <w:szCs w:val="24"/>
        </w:rPr>
        <w:t>process. Smith offers that his model is more profitable as a result of reduced government intervention, and thus creates equitability in disbursement of resources, thus eliminating class-society meritocracy.</w:t>
      </w:r>
    </w:p>
    <w:p w:rsidR="003C60D6" w:rsidRPr="002E4882" w:rsidRDefault="003C60D6" w:rsidP="002E4882">
      <w:pPr>
        <w:spacing w:line="480" w:lineRule="auto"/>
        <w:ind w:firstLine="720"/>
        <w:rPr>
          <w:rFonts w:ascii="Times New Roman" w:hAnsi="Times New Roman" w:cs="Times New Roman"/>
          <w:sz w:val="24"/>
          <w:szCs w:val="24"/>
        </w:rPr>
      </w:pPr>
      <w:r w:rsidRPr="002E4882">
        <w:rPr>
          <w:rFonts w:ascii="Times New Roman" w:hAnsi="Times New Roman" w:cs="Times New Roman"/>
          <w:sz w:val="24"/>
          <w:szCs w:val="24"/>
        </w:rPr>
        <w:t>Karl Marx’s theory can be attributed to the fact that capitalization portends to be the global, arbitrary frontier. Marx offers that the discovery of America and the rapid industrial revolution of the 17</w:t>
      </w:r>
      <w:r w:rsidRPr="002E4882">
        <w:rPr>
          <w:rFonts w:ascii="Times New Roman" w:hAnsi="Times New Roman" w:cs="Times New Roman"/>
          <w:sz w:val="24"/>
          <w:szCs w:val="24"/>
          <w:vertAlign w:val="superscript"/>
        </w:rPr>
        <w:t>th</w:t>
      </w:r>
      <w:r w:rsidRPr="002E4882">
        <w:rPr>
          <w:rFonts w:ascii="Times New Roman" w:hAnsi="Times New Roman" w:cs="Times New Roman"/>
          <w:sz w:val="24"/>
          <w:szCs w:val="24"/>
        </w:rPr>
        <w:t xml:space="preserve"> century brought about new interactions, thus pending relatively new methods for commerce practice. In my opinion, Marx’s inclination leverages on the self-managing attribute projected by capitalism. Essentially</w:t>
      </w:r>
      <w:r w:rsidR="007C22AE" w:rsidRPr="002E4882">
        <w:rPr>
          <w:rFonts w:ascii="Times New Roman" w:hAnsi="Times New Roman" w:cs="Times New Roman"/>
          <w:sz w:val="24"/>
          <w:szCs w:val="24"/>
        </w:rPr>
        <w:t>, Marx offers that the bourgeoisie</w:t>
      </w:r>
      <w:r w:rsidRPr="002E4882">
        <w:rPr>
          <w:rFonts w:ascii="Times New Roman" w:hAnsi="Times New Roman" w:cs="Times New Roman"/>
          <w:sz w:val="24"/>
          <w:szCs w:val="24"/>
        </w:rPr>
        <w:t xml:space="preserve"> elite, in a bid to foment</w:t>
      </w:r>
      <w:r w:rsidR="007C22AE" w:rsidRPr="002E4882">
        <w:rPr>
          <w:rFonts w:ascii="Times New Roman" w:hAnsi="Times New Roman" w:cs="Times New Roman"/>
          <w:sz w:val="24"/>
          <w:szCs w:val="24"/>
        </w:rPr>
        <w:t xml:space="preserve"> global </w:t>
      </w:r>
      <w:r w:rsidRPr="002E4882">
        <w:rPr>
          <w:rFonts w:ascii="Times New Roman" w:hAnsi="Times New Roman" w:cs="Times New Roman"/>
          <w:sz w:val="24"/>
          <w:szCs w:val="24"/>
        </w:rPr>
        <w:t xml:space="preserve">integration and consequently maintain their accrued wealth, politicize the </w:t>
      </w:r>
      <w:r w:rsidR="007C22AE" w:rsidRPr="002E4882">
        <w:rPr>
          <w:rFonts w:ascii="Times New Roman" w:hAnsi="Times New Roman" w:cs="Times New Roman"/>
          <w:sz w:val="24"/>
          <w:szCs w:val="24"/>
        </w:rPr>
        <w:t>existential models to fit their desires periodically</w:t>
      </w:r>
      <w:r w:rsidR="004E3CAE">
        <w:rPr>
          <w:rFonts w:ascii="Times New Roman" w:hAnsi="Times New Roman" w:cs="Times New Roman"/>
          <w:sz w:val="24"/>
          <w:szCs w:val="24"/>
        </w:rPr>
        <w:t xml:space="preserve"> (Marx, 2002). Marx’s theory offers</w:t>
      </w:r>
      <w:r w:rsidR="007C22AE" w:rsidRPr="002E4882">
        <w:rPr>
          <w:rFonts w:ascii="Times New Roman" w:hAnsi="Times New Roman" w:cs="Times New Roman"/>
          <w:sz w:val="24"/>
          <w:szCs w:val="24"/>
        </w:rPr>
        <w:t xml:space="preserve"> that the inclusion of tariffs and quotas on international trade dynamics has rendered even the most barbarian nations, adherents to modern capitalism. On the other hand, I think that Smith’s alleged model is based on the need to accentuate equality through the fair distribution of resources in a specific economic paradigm. Primarily, the most prudent rationale for this predisposition would be based on leveraging a laborer’s labor with the value of commodities floated in a market. Thus, this would ensure equitability and avert meritocratic forms of wealth management.</w:t>
      </w:r>
    </w:p>
    <w:p w:rsidR="00700B75" w:rsidRDefault="00103C64" w:rsidP="00103C64">
      <w:pPr>
        <w:tabs>
          <w:tab w:val="left" w:pos="26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2E4882" w:rsidRDefault="004D606B" w:rsidP="007A1056">
      <w:pPr>
        <w:spacing w:line="480" w:lineRule="auto"/>
        <w:rPr>
          <w:rFonts w:ascii="Times New Roman" w:hAnsi="Times New Roman" w:cs="Times New Roman"/>
          <w:sz w:val="24"/>
          <w:szCs w:val="24"/>
        </w:rPr>
      </w:pPr>
      <w:r>
        <w:rPr>
          <w:rFonts w:ascii="Times New Roman" w:hAnsi="Times New Roman" w:cs="Times New Roman"/>
          <w:sz w:val="24"/>
          <w:szCs w:val="24"/>
        </w:rPr>
        <w:t>s</w:t>
      </w:r>
    </w:p>
    <w:p w:rsidR="002E4882" w:rsidRDefault="002E4882" w:rsidP="002E488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References</w:t>
      </w:r>
    </w:p>
    <w:p w:rsidR="004E3CAE" w:rsidRPr="004E3CAE" w:rsidRDefault="004E3CAE" w:rsidP="004E3CAE">
      <w:pPr>
        <w:spacing w:line="480" w:lineRule="auto"/>
        <w:ind w:left="720" w:hanging="720"/>
        <w:rPr>
          <w:rFonts w:ascii="Times New Roman" w:hAnsi="Times New Roman" w:cs="Times New Roman"/>
          <w:sz w:val="24"/>
          <w:szCs w:val="24"/>
        </w:rPr>
      </w:pPr>
      <w:r w:rsidRPr="004E3CAE">
        <w:rPr>
          <w:rFonts w:ascii="Times New Roman" w:hAnsi="Times New Roman" w:cs="Times New Roman"/>
          <w:color w:val="222222"/>
          <w:sz w:val="24"/>
          <w:szCs w:val="24"/>
          <w:shd w:val="clear" w:color="auto" w:fill="FFFFFF"/>
        </w:rPr>
        <w:t>Marx, K., &amp; Engels, F. (2002). </w:t>
      </w:r>
      <w:r w:rsidRPr="004E3CAE">
        <w:rPr>
          <w:rFonts w:ascii="Times New Roman" w:hAnsi="Times New Roman" w:cs="Times New Roman"/>
          <w:i/>
          <w:iCs/>
          <w:color w:val="222222"/>
          <w:sz w:val="24"/>
          <w:szCs w:val="24"/>
          <w:shd w:val="clear" w:color="auto" w:fill="FFFFFF"/>
        </w:rPr>
        <w:t>The communist manifesto</w:t>
      </w:r>
      <w:r w:rsidRPr="004E3CAE">
        <w:rPr>
          <w:rFonts w:ascii="Times New Roman" w:hAnsi="Times New Roman" w:cs="Times New Roman"/>
          <w:color w:val="222222"/>
          <w:sz w:val="24"/>
          <w:szCs w:val="24"/>
          <w:shd w:val="clear" w:color="auto" w:fill="FFFFFF"/>
        </w:rPr>
        <w:t>. Penguin.</w:t>
      </w:r>
    </w:p>
    <w:p w:rsidR="004E3CAE" w:rsidRPr="004E3CAE" w:rsidRDefault="004E3CAE" w:rsidP="004E3CAE">
      <w:pPr>
        <w:spacing w:line="480" w:lineRule="auto"/>
        <w:ind w:left="720" w:hanging="720"/>
        <w:rPr>
          <w:rFonts w:ascii="Times New Roman" w:hAnsi="Times New Roman" w:cs="Times New Roman"/>
          <w:color w:val="222222"/>
          <w:sz w:val="24"/>
          <w:szCs w:val="24"/>
          <w:shd w:val="clear" w:color="auto" w:fill="FFFFFF"/>
        </w:rPr>
      </w:pPr>
      <w:r w:rsidRPr="004E3CAE">
        <w:rPr>
          <w:rFonts w:ascii="Times New Roman" w:hAnsi="Times New Roman" w:cs="Times New Roman"/>
          <w:color w:val="222222"/>
          <w:sz w:val="24"/>
          <w:szCs w:val="24"/>
          <w:shd w:val="clear" w:color="auto" w:fill="FFFFFF"/>
        </w:rPr>
        <w:t>Smith, A. (1776). 1986, The Wealth of Nations. </w:t>
      </w:r>
      <w:r w:rsidRPr="004E3CAE">
        <w:rPr>
          <w:rFonts w:ascii="Times New Roman" w:hAnsi="Times New Roman" w:cs="Times New Roman"/>
          <w:i/>
          <w:iCs/>
          <w:color w:val="222222"/>
          <w:sz w:val="24"/>
          <w:szCs w:val="24"/>
          <w:shd w:val="clear" w:color="auto" w:fill="FFFFFF"/>
        </w:rPr>
        <w:t>The Essential Adam Smith (WW Norton &amp; Company, New York)</w:t>
      </w:r>
      <w:r w:rsidR="00AB04CC">
        <w:rPr>
          <w:rFonts w:ascii="Times New Roman" w:hAnsi="Times New Roman" w:cs="Times New Roman"/>
          <w:color w:val="222222"/>
          <w:sz w:val="24"/>
          <w:szCs w:val="24"/>
          <w:shd w:val="clear" w:color="auto" w:fill="FFFFFF"/>
        </w:rPr>
        <w:t>.</w:t>
      </w:r>
      <w:bookmarkStart w:id="0" w:name="_GoBack"/>
      <w:bookmarkEnd w:id="0"/>
    </w:p>
    <w:p w:rsidR="00610754" w:rsidRPr="002E4882" w:rsidRDefault="00610754" w:rsidP="002E4882">
      <w:pPr>
        <w:spacing w:line="480" w:lineRule="auto"/>
        <w:ind w:firstLine="720"/>
        <w:rPr>
          <w:sz w:val="24"/>
          <w:szCs w:val="24"/>
        </w:rPr>
      </w:pPr>
    </w:p>
    <w:sectPr w:rsidR="00610754" w:rsidRPr="002E4882" w:rsidSect="007C22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8A3" w:rsidRDefault="00C348A3" w:rsidP="007C22AE">
      <w:pPr>
        <w:spacing w:after="0" w:line="240" w:lineRule="auto"/>
      </w:pPr>
      <w:r>
        <w:separator/>
      </w:r>
    </w:p>
  </w:endnote>
  <w:endnote w:type="continuationSeparator" w:id="0">
    <w:p w:rsidR="00C348A3" w:rsidRDefault="00C348A3" w:rsidP="007C2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8A3" w:rsidRDefault="00C348A3" w:rsidP="007C22AE">
      <w:pPr>
        <w:spacing w:after="0" w:line="240" w:lineRule="auto"/>
      </w:pPr>
      <w:r>
        <w:separator/>
      </w:r>
    </w:p>
  </w:footnote>
  <w:footnote w:type="continuationSeparator" w:id="0">
    <w:p w:rsidR="00C348A3" w:rsidRDefault="00C348A3" w:rsidP="007C2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AE" w:rsidRDefault="002E4882">
    <w:pPr>
      <w:pStyle w:val="Header"/>
    </w:pPr>
    <w:r w:rsidRPr="002E4882">
      <w:rPr>
        <w:rFonts w:ascii="Times New Roman" w:hAnsi="Times New Roman" w:cs="Times New Roman"/>
        <w:sz w:val="24"/>
        <w:szCs w:val="24"/>
        <w:lang w:val="br-FR"/>
      </w:rPr>
      <w:t xml:space="preserve">ECONOMIC MODELS </w:t>
    </w:r>
    <w:r w:rsidRPr="002E4882">
      <w:rPr>
        <w:rFonts w:ascii="Times New Roman" w:hAnsi="Times New Roman" w:cs="Times New Roman"/>
        <w:sz w:val="24"/>
        <w:szCs w:val="24"/>
      </w:rPr>
      <w:t xml:space="preserve"> &amp; </w:t>
    </w:r>
    <w:r>
      <w:rPr>
        <w:rFonts w:ascii="Times New Roman" w:hAnsi="Times New Roman" w:cs="Times New Roman"/>
        <w:sz w:val="24"/>
        <w:szCs w:val="24"/>
      </w:rPr>
      <w:t xml:space="preserve"> </w:t>
    </w:r>
    <w:r w:rsidRPr="002E4882">
      <w:rPr>
        <w:rFonts w:ascii="Times New Roman" w:hAnsi="Times New Roman" w:cs="Times New Roman"/>
        <w:sz w:val="24"/>
        <w:szCs w:val="24"/>
      </w:rPr>
      <w:t>GOVERN</w:t>
    </w:r>
    <w:r w:rsidRPr="002E4882">
      <w:rPr>
        <w:rFonts w:ascii="Times New Roman" w:hAnsi="Times New Roman" w:cs="Times New Roman"/>
        <w:sz w:val="24"/>
        <w:szCs w:val="24"/>
        <w:lang w:val="br-FR"/>
      </w:rPr>
      <w:t>MENT INPUT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AE" w:rsidRPr="002E4882" w:rsidRDefault="007C22AE">
    <w:pPr>
      <w:pStyle w:val="Header"/>
      <w:rPr>
        <w:rFonts w:ascii="Times New Roman" w:hAnsi="Times New Roman" w:cs="Times New Roman"/>
        <w:sz w:val="24"/>
        <w:szCs w:val="24"/>
        <w:lang w:val="br-FR"/>
      </w:rPr>
    </w:pPr>
    <w:r w:rsidRPr="002E4882">
      <w:rPr>
        <w:rFonts w:ascii="Times New Roman" w:hAnsi="Times New Roman" w:cs="Times New Roman"/>
        <w:sz w:val="24"/>
        <w:szCs w:val="24"/>
        <w:lang w:val="br-FR"/>
      </w:rPr>
      <w:t xml:space="preserve">Running head:ECONOMIC MODELS </w:t>
    </w:r>
    <w:r w:rsidR="002E4882" w:rsidRPr="002E4882">
      <w:rPr>
        <w:rFonts w:ascii="Times New Roman" w:hAnsi="Times New Roman" w:cs="Times New Roman"/>
        <w:sz w:val="24"/>
        <w:szCs w:val="24"/>
      </w:rPr>
      <w:t xml:space="preserve"> </w:t>
    </w:r>
    <w:r w:rsidRPr="002E4882">
      <w:rPr>
        <w:rFonts w:ascii="Times New Roman" w:hAnsi="Times New Roman" w:cs="Times New Roman"/>
        <w:sz w:val="24"/>
        <w:szCs w:val="24"/>
      </w:rPr>
      <w:t>&amp;</w:t>
    </w:r>
    <w:r w:rsidR="002E4882" w:rsidRPr="002E4882">
      <w:rPr>
        <w:rFonts w:ascii="Times New Roman" w:hAnsi="Times New Roman" w:cs="Times New Roman"/>
        <w:sz w:val="24"/>
        <w:szCs w:val="24"/>
      </w:rPr>
      <w:t xml:space="preserve"> </w:t>
    </w:r>
    <w:r w:rsidR="002E4882">
      <w:rPr>
        <w:rFonts w:ascii="Times New Roman" w:hAnsi="Times New Roman" w:cs="Times New Roman"/>
        <w:sz w:val="24"/>
        <w:szCs w:val="24"/>
      </w:rPr>
      <w:t xml:space="preserve"> </w:t>
    </w:r>
    <w:r w:rsidR="002E4882" w:rsidRPr="002E4882">
      <w:rPr>
        <w:rFonts w:ascii="Times New Roman" w:hAnsi="Times New Roman" w:cs="Times New Roman"/>
        <w:sz w:val="24"/>
        <w:szCs w:val="24"/>
      </w:rPr>
      <w:t>GOVERN</w:t>
    </w:r>
    <w:r w:rsidR="002E4882" w:rsidRPr="002E4882">
      <w:rPr>
        <w:rFonts w:ascii="Times New Roman" w:hAnsi="Times New Roman" w:cs="Times New Roman"/>
        <w:sz w:val="24"/>
        <w:szCs w:val="24"/>
        <w:lang w:val="br-FR"/>
      </w:rPr>
      <w:t>MENT INPUT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754"/>
    <w:rsid w:val="00103C64"/>
    <w:rsid w:val="00134744"/>
    <w:rsid w:val="00153461"/>
    <w:rsid w:val="002E4882"/>
    <w:rsid w:val="003C60D6"/>
    <w:rsid w:val="003D239C"/>
    <w:rsid w:val="004D606B"/>
    <w:rsid w:val="004E3CAE"/>
    <w:rsid w:val="00524988"/>
    <w:rsid w:val="005366D6"/>
    <w:rsid w:val="00610754"/>
    <w:rsid w:val="00700B75"/>
    <w:rsid w:val="007A1056"/>
    <w:rsid w:val="007B4BDF"/>
    <w:rsid w:val="007C22AE"/>
    <w:rsid w:val="009F1B33"/>
    <w:rsid w:val="00AB04CC"/>
    <w:rsid w:val="00AB3263"/>
    <w:rsid w:val="00B431BD"/>
    <w:rsid w:val="00C348A3"/>
    <w:rsid w:val="00C45569"/>
    <w:rsid w:val="00CA4F6D"/>
    <w:rsid w:val="00CE24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1AA6B"/>
  <w15:docId w15:val="{19869691-1B72-4966-A147-D78BAA63F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2AE"/>
  </w:style>
  <w:style w:type="paragraph" w:styleId="Footer">
    <w:name w:val="footer"/>
    <w:basedOn w:val="Normal"/>
    <w:link w:val="FooterChar"/>
    <w:uiPriority w:val="99"/>
    <w:unhideWhenUsed/>
    <w:rsid w:val="007C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900</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hp  250</cp:lastModifiedBy>
  <cp:revision>13</cp:revision>
  <dcterms:created xsi:type="dcterms:W3CDTF">2020-07-14T20:34:00Z</dcterms:created>
  <dcterms:modified xsi:type="dcterms:W3CDTF">2020-07-14T23:19:00Z</dcterms:modified>
</cp:coreProperties>
</file>